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535" w:rsidRPr="00946D80" w:rsidRDefault="006A5535" w:rsidP="006A5535">
      <w:pPr>
        <w:pStyle w:val="RLProhlensmluvnchstran"/>
        <w:numPr>
          <w:ilvl w:val="0"/>
          <w:numId w:val="2"/>
        </w:numPr>
        <w:jc w:val="left"/>
        <w:rPr>
          <w:rFonts w:ascii="Verdana" w:hAnsi="Verdana"/>
          <w:sz w:val="22"/>
          <w:lang w:val="cs-CZ"/>
        </w:rPr>
      </w:pPr>
      <w:bookmarkStart w:id="0" w:name="_GoBack"/>
      <w:bookmarkEnd w:id="0"/>
      <w:r w:rsidRPr="00946D80">
        <w:rPr>
          <w:rFonts w:ascii="Verdana" w:hAnsi="Verdana"/>
          <w:sz w:val="22"/>
          <w:szCs w:val="22"/>
          <w:lang w:val="cs-CZ"/>
        </w:rPr>
        <w:t xml:space="preserve">Technická </w:t>
      </w:r>
      <w:r w:rsidRPr="00946D80">
        <w:rPr>
          <w:rFonts w:ascii="Verdana" w:hAnsi="Verdana"/>
          <w:sz w:val="22"/>
          <w:lang w:val="cs-CZ"/>
        </w:rPr>
        <w:t>specifikace</w:t>
      </w:r>
      <w:r w:rsidRPr="00946D80">
        <w:rPr>
          <w:rFonts w:ascii="Verdana" w:hAnsi="Verdana"/>
          <w:sz w:val="22"/>
          <w:szCs w:val="22"/>
          <w:lang w:val="cs-CZ"/>
        </w:rPr>
        <w:t xml:space="preserve"> SLA</w:t>
      </w:r>
    </w:p>
    <w:p w:rsidR="006A5535" w:rsidRPr="00946D80" w:rsidRDefault="006A5535" w:rsidP="00946D80">
      <w:pPr>
        <w:pStyle w:val="RLProhlensmluvnchstran"/>
        <w:numPr>
          <w:ilvl w:val="1"/>
          <w:numId w:val="2"/>
        </w:numPr>
        <w:ind w:left="284" w:hanging="284"/>
        <w:jc w:val="left"/>
        <w:rPr>
          <w:rFonts w:ascii="Verdana" w:hAnsi="Verdana"/>
          <w:bCs/>
          <w:iCs/>
          <w:color w:val="000000"/>
          <w:sz w:val="20"/>
          <w:szCs w:val="22"/>
          <w:lang w:val="cs-CZ"/>
        </w:rPr>
      </w:pPr>
      <w:r w:rsidRPr="00946D80">
        <w:rPr>
          <w:rFonts w:ascii="Verdana" w:hAnsi="Verdana"/>
          <w:sz w:val="20"/>
          <w:lang w:val="cs-CZ"/>
        </w:rPr>
        <w:t>Definice pojmů SLA</w:t>
      </w:r>
    </w:p>
    <w:tbl>
      <w:tblPr>
        <w:tblW w:w="50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95"/>
        <w:gridCol w:w="6461"/>
      </w:tblGrid>
      <w:tr w:rsidR="00946D80" w:rsidRPr="00946D80" w:rsidTr="00946D80">
        <w:trPr>
          <w:cantSplit/>
          <w:tblHeader/>
          <w:jc w:val="center"/>
        </w:trPr>
        <w:tc>
          <w:tcPr>
            <w:tcW w:w="2595" w:type="dxa"/>
            <w:tcBorders>
              <w:right w:val="single" w:sz="6" w:space="0" w:color="FFFFFF"/>
            </w:tcBorders>
            <w:shd w:val="clear" w:color="auto" w:fill="D9D9D9" w:themeFill="background1" w:themeFillShade="D9"/>
            <w:noWrap/>
          </w:tcPr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946D80">
              <w:rPr>
                <w:rFonts w:ascii="Verdana" w:hAnsi="Verdana"/>
                <w:b/>
                <w:sz w:val="18"/>
                <w:szCs w:val="18"/>
              </w:rPr>
              <w:t>Název parametru</w:t>
            </w:r>
          </w:p>
        </w:tc>
        <w:tc>
          <w:tcPr>
            <w:tcW w:w="6589" w:type="dxa"/>
            <w:tcBorders>
              <w:left w:val="single" w:sz="6" w:space="0" w:color="FFFFFF"/>
            </w:tcBorders>
            <w:shd w:val="clear" w:color="auto" w:fill="D9D9D9" w:themeFill="background1" w:themeFillShade="D9"/>
          </w:tcPr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 w:rsidRPr="00946D80">
              <w:rPr>
                <w:rFonts w:ascii="Verdana" w:hAnsi="Verdana"/>
                <w:b/>
                <w:sz w:val="18"/>
                <w:szCs w:val="18"/>
              </w:rPr>
              <w:t>Vysvětlení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595" w:type="dxa"/>
          </w:tcPr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Zaručená provozní doba</w:t>
            </w:r>
          </w:p>
        </w:tc>
        <w:tc>
          <w:tcPr>
            <w:tcW w:w="6589" w:type="dxa"/>
          </w:tcPr>
          <w:p w:rsidR="006A5535" w:rsidRPr="00946D80" w:rsidRDefault="006A5535" w:rsidP="00946D80">
            <w:pPr>
              <w:pStyle w:val="Zkladntext"/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 w:rsidRPr="00946D80">
              <w:rPr>
                <w:rFonts w:ascii="Verdana" w:hAnsi="Verdana"/>
                <w:sz w:val="18"/>
                <w:szCs w:val="18"/>
              </w:rPr>
              <w:t xml:space="preserve">Zaručenou provozní dobou je míněna provozní doba Paušálních služeb, v </w:t>
            </w:r>
            <w:r w:rsidR="00946D80" w:rsidRPr="00946D80">
              <w:rPr>
                <w:rFonts w:ascii="Verdana" w:hAnsi="Verdana"/>
                <w:sz w:val="18"/>
                <w:szCs w:val="18"/>
              </w:rPr>
              <w:t>průběhu,</w:t>
            </w:r>
            <w:r w:rsidRPr="00946D80">
              <w:rPr>
                <w:rFonts w:ascii="Verdana" w:hAnsi="Verdana"/>
                <w:sz w:val="18"/>
                <w:szCs w:val="18"/>
              </w:rPr>
              <w:t xml:space="preserve"> které je Objednatelem požadovaná a současně Poskytovatelem garantováno poskytování Paušálních služeb. Provozní doba zaručená je měřena/vyhodnocována v jednotkách času (v hodinách).</w:t>
            </w:r>
          </w:p>
          <w:p w:rsidR="006A5535" w:rsidRPr="00946D80" w:rsidRDefault="006A5535" w:rsidP="00946D80">
            <w:pPr>
              <w:spacing w:before="60" w:after="6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Pro incidenty kategorie A je zaručená provozní doba stanovena: pracovní dny, 07:00-19:00.</w:t>
            </w:r>
          </w:p>
          <w:p w:rsidR="006A5535" w:rsidRPr="00946D80" w:rsidRDefault="006A5535" w:rsidP="00946D80">
            <w:pPr>
              <w:spacing w:before="60" w:after="6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Pro incidenty kategorie B a C je zaručená provozní doba stanovena: pracovní dny, 08:00-16:00.</w:t>
            </w:r>
          </w:p>
          <w:p w:rsidR="006A5535" w:rsidRPr="00946D80" w:rsidRDefault="006A5535" w:rsidP="00946D80">
            <w:pPr>
              <w:spacing w:before="60" w:after="6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Pro ostatní servisní hlášení je zaručená provozní doba stanovena: pracovní dny, 08:00-16:00.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595" w:type="dxa"/>
          </w:tcPr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 xml:space="preserve">Maximální doba servisní odezvy </w:t>
            </w:r>
          </w:p>
        </w:tc>
        <w:tc>
          <w:tcPr>
            <w:tcW w:w="6589" w:type="dxa"/>
          </w:tcPr>
          <w:p w:rsidR="006A5535" w:rsidRPr="00946D80" w:rsidRDefault="006A5535" w:rsidP="00946D80">
            <w:pPr>
              <w:pStyle w:val="Zkladntext"/>
              <w:spacing w:before="60" w:after="6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sz w:val="18"/>
                <w:szCs w:val="18"/>
              </w:rPr>
              <w:t>Maximální dobou servisní odezvy je míněno maximální časové období, ve kterém je Poskytovatel povinen zareagovat na nový záznam v</w:t>
            </w:r>
            <w:r w:rsidR="00946D80">
              <w:rPr>
                <w:rFonts w:ascii="Verdana" w:hAnsi="Verdana"/>
                <w:sz w:val="18"/>
                <w:szCs w:val="18"/>
              </w:rPr>
              <w:t> </w:t>
            </w:r>
            <w:proofErr w:type="spellStart"/>
            <w:r w:rsidRPr="00946D80">
              <w:rPr>
                <w:rFonts w:ascii="Verdana" w:hAnsi="Verdana"/>
                <w:sz w:val="18"/>
                <w:szCs w:val="18"/>
              </w:rPr>
              <w:t>helpdeskovém</w:t>
            </w:r>
            <w:proofErr w:type="spellEnd"/>
            <w:r w:rsidRPr="00946D80">
              <w:rPr>
                <w:rFonts w:ascii="Verdana" w:hAnsi="Verdana"/>
                <w:sz w:val="18"/>
                <w:szCs w:val="18"/>
              </w:rPr>
              <w:t xml:space="preserve"> systému, který byl založen v rámci zaručené provozní doby. Doba servisní odezvy je stanovena pro incidenty dle jejich kategorií, je hodnocena pouze v rámci zaručené provozní doby a je vyhodnocována v hodinách, popř. minutách.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595" w:type="dxa"/>
          </w:tcPr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Maximální doba odstranění incidentu (</w:t>
            </w:r>
            <w:r w:rsidRPr="00946D80">
              <w:rPr>
                <w:rFonts w:ascii="Verdana" w:hAnsi="Verdana" w:cs="Arial"/>
                <w:color w:val="000000"/>
                <w:sz w:val="18"/>
                <w:szCs w:val="18"/>
              </w:rPr>
              <w:t>popř. vyřešení ostatních servisních hlášení)</w:t>
            </w:r>
          </w:p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589" w:type="dxa"/>
          </w:tcPr>
          <w:p w:rsidR="006A5535" w:rsidRPr="00946D80" w:rsidRDefault="006A5535" w:rsidP="00946D80">
            <w:pPr>
              <w:pStyle w:val="Zkladntext"/>
              <w:spacing w:before="60" w:after="6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sz w:val="18"/>
                <w:szCs w:val="18"/>
              </w:rPr>
              <w:t>Maximální dobou odstranění incidentu (popř. vyřešení ostatních servisních hlášení) je míněno maximální časové období od založení nového záznamu v </w:t>
            </w:r>
            <w:proofErr w:type="spellStart"/>
            <w:r w:rsidRPr="00946D80">
              <w:rPr>
                <w:rFonts w:ascii="Verdana" w:hAnsi="Verdana"/>
                <w:sz w:val="18"/>
                <w:szCs w:val="18"/>
              </w:rPr>
              <w:t>Service</w:t>
            </w:r>
            <w:proofErr w:type="spellEnd"/>
            <w:r w:rsidRPr="00946D80">
              <w:rPr>
                <w:rFonts w:ascii="Verdana" w:hAnsi="Verdana"/>
                <w:sz w:val="18"/>
                <w:szCs w:val="18"/>
              </w:rPr>
              <w:t xml:space="preserve"> Deskovém systému, který byl založen v rámci zaručené provozní doby, ve kterém je Poskytovatel povinen odstranit incident. Doba odstranění incidentu je stanovena pro incidenty dle jejich kategorií, je hodnocena pouze v rámci zaručené provozní doby a je vyhodnocována v hodinách, popř. minutách.  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595" w:type="dxa"/>
          </w:tcPr>
          <w:p w:rsidR="006A5535" w:rsidRPr="00946D80" w:rsidRDefault="006A5535" w:rsidP="00946D80">
            <w:pPr>
              <w:spacing w:before="60" w:after="60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Maintenance</w:t>
            </w:r>
            <w:proofErr w:type="spellEnd"/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Window</w:t>
            </w:r>
            <w:proofErr w:type="spellEnd"/>
          </w:p>
        </w:tc>
        <w:tc>
          <w:tcPr>
            <w:tcW w:w="6589" w:type="dxa"/>
          </w:tcPr>
          <w:p w:rsidR="006A5535" w:rsidRPr="00946D80" w:rsidRDefault="006A5535" w:rsidP="00946D80">
            <w:pPr>
              <w:spacing w:before="60" w:after="6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Časové období, ve kterém je možné provést výpadek poskytovaných Služeb</w:t>
            </w:r>
            <w:r w:rsidRPr="00946D80">
              <w:rPr>
                <w:rFonts w:ascii="Verdana" w:hAnsi="Verdana" w:cs="Arial"/>
                <w:kern w:val="28"/>
                <w:sz w:val="18"/>
                <w:szCs w:val="18"/>
              </w:rPr>
              <w:t xml:space="preserve">, </w:t>
            </w: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který se nekvalifikuje jako incident</w:t>
            </w:r>
            <w:r w:rsidRPr="00946D80">
              <w:rPr>
                <w:rFonts w:ascii="Verdana" w:hAnsi="Verdana" w:cs="Arial"/>
                <w:kern w:val="28"/>
                <w:sz w:val="18"/>
                <w:szCs w:val="18"/>
              </w:rPr>
              <w:t xml:space="preserve">. </w:t>
            </w: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Výpadek je v tomto definovaném období možné provést vždy pouze se souhlasem Objednatele.</w:t>
            </w:r>
          </w:p>
        </w:tc>
      </w:tr>
    </w:tbl>
    <w:p w:rsidR="006A5535" w:rsidRPr="000719AC" w:rsidRDefault="006A5535" w:rsidP="006A5535">
      <w:pPr>
        <w:rPr>
          <w:highlight w:val="yellow"/>
        </w:rPr>
      </w:pPr>
    </w:p>
    <w:p w:rsidR="006A5535" w:rsidRPr="00946D80" w:rsidRDefault="006A5535" w:rsidP="00946D80">
      <w:pPr>
        <w:pStyle w:val="RLProhlensmluvnchstran"/>
        <w:numPr>
          <w:ilvl w:val="1"/>
          <w:numId w:val="2"/>
        </w:numPr>
        <w:ind w:left="284" w:hanging="284"/>
        <w:jc w:val="left"/>
        <w:rPr>
          <w:color w:val="000000"/>
          <w:sz w:val="20"/>
        </w:rPr>
      </w:pPr>
      <w:r w:rsidRPr="00946D80">
        <w:rPr>
          <w:rFonts w:ascii="Verdana" w:hAnsi="Verdana"/>
          <w:sz w:val="20"/>
          <w:lang w:val="cs-CZ"/>
        </w:rPr>
        <w:t>Kategorizace</w:t>
      </w:r>
      <w:r w:rsidRPr="00946D80">
        <w:rPr>
          <w:rFonts w:ascii="Verdana" w:hAnsi="Verdana"/>
          <w:color w:val="000000"/>
          <w:kern w:val="32"/>
          <w:sz w:val="20"/>
          <w:lang w:val="cs-CZ"/>
        </w:rPr>
        <w:t xml:space="preserve"> servisních hlášení</w:t>
      </w:r>
    </w:p>
    <w:p w:rsidR="006A5535" w:rsidRPr="00946D80" w:rsidRDefault="006A5535" w:rsidP="00946D80">
      <w:pPr>
        <w:pStyle w:val="RLProhlensmluvnchstran"/>
        <w:numPr>
          <w:ilvl w:val="2"/>
          <w:numId w:val="2"/>
        </w:numPr>
        <w:ind w:left="567" w:hanging="567"/>
        <w:jc w:val="left"/>
        <w:rPr>
          <w:rFonts w:ascii="Verdana" w:hAnsi="Verdana"/>
          <w:color w:val="000000"/>
          <w:sz w:val="18"/>
          <w:szCs w:val="18"/>
        </w:rPr>
      </w:pPr>
      <w:proofErr w:type="spellStart"/>
      <w:r w:rsidRPr="00946D80">
        <w:rPr>
          <w:rFonts w:ascii="Verdana" w:hAnsi="Verdana"/>
          <w:color w:val="000000"/>
          <w:sz w:val="18"/>
          <w:szCs w:val="18"/>
        </w:rPr>
        <w:t>Servisní</w:t>
      </w:r>
      <w:proofErr w:type="spellEnd"/>
      <w:r w:rsidRPr="00946D80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946D80">
        <w:rPr>
          <w:rFonts w:ascii="Verdana" w:hAnsi="Verdana"/>
          <w:color w:val="000000"/>
          <w:sz w:val="18"/>
          <w:szCs w:val="18"/>
        </w:rPr>
        <w:t>hlášení</w:t>
      </w:r>
      <w:proofErr w:type="spellEnd"/>
      <w:r w:rsidRPr="00946D80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946D80">
        <w:rPr>
          <w:rFonts w:ascii="Verdana" w:hAnsi="Verdana"/>
          <w:color w:val="000000"/>
          <w:sz w:val="18"/>
          <w:szCs w:val="18"/>
        </w:rPr>
        <w:t>typu</w:t>
      </w:r>
      <w:proofErr w:type="spellEnd"/>
      <w:r w:rsidRPr="00946D80">
        <w:rPr>
          <w:rFonts w:ascii="Verdana" w:hAnsi="Verdana"/>
          <w:color w:val="000000"/>
          <w:sz w:val="18"/>
          <w:szCs w:val="18"/>
        </w:rPr>
        <w:t xml:space="preserve"> „</w:t>
      </w:r>
      <w:proofErr w:type="gramStart"/>
      <w:r w:rsidRPr="00946D80">
        <w:rPr>
          <w:rFonts w:ascii="Verdana" w:hAnsi="Verdana"/>
          <w:color w:val="000000"/>
          <w:sz w:val="18"/>
          <w:szCs w:val="18"/>
        </w:rPr>
        <w:t>Incident“</w:t>
      </w:r>
      <w:proofErr w:type="gramEnd"/>
    </w:p>
    <w:p w:rsidR="006A5535" w:rsidRPr="00946D80" w:rsidRDefault="006A5535" w:rsidP="006A5535">
      <w:pPr>
        <w:pStyle w:val="Zkladntext"/>
        <w:jc w:val="both"/>
        <w:rPr>
          <w:rFonts w:ascii="Verdana" w:hAnsi="Verdana"/>
          <w:sz w:val="20"/>
        </w:rPr>
      </w:pPr>
      <w:r w:rsidRPr="00946D80">
        <w:rPr>
          <w:rFonts w:ascii="Verdana" w:hAnsi="Verdana"/>
          <w:color w:val="000000"/>
          <w:sz w:val="18"/>
          <w:szCs w:val="22"/>
        </w:rPr>
        <w:t xml:space="preserve">Incidenty v plnění SLA jsou klasifikovány dle závažnosti a rozsahu dopadu na klíčové činnosti Objednatele a koncové uživatele. </w:t>
      </w:r>
      <w:r w:rsidRPr="00946D80">
        <w:rPr>
          <w:rFonts w:ascii="Verdana" w:hAnsi="Verdana"/>
          <w:sz w:val="18"/>
          <w:szCs w:val="22"/>
        </w:rPr>
        <w:t>Pokud není v katalogových listech nebo ve Smlouvě stanoveno jinak, uplatní se kategorizace incidentů vymezená níže:</w:t>
      </w:r>
    </w:p>
    <w:tbl>
      <w:tblPr>
        <w:tblW w:w="50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60"/>
        <w:gridCol w:w="6396"/>
      </w:tblGrid>
      <w:tr w:rsidR="00946D80" w:rsidRPr="00946D80" w:rsidTr="00946D80">
        <w:trPr>
          <w:cantSplit/>
          <w:tblHeader/>
          <w:jc w:val="center"/>
        </w:trPr>
        <w:tc>
          <w:tcPr>
            <w:tcW w:w="2688" w:type="dxa"/>
            <w:tcBorders>
              <w:right w:val="single" w:sz="6" w:space="0" w:color="FFFFFF"/>
            </w:tcBorders>
            <w:shd w:val="clear" w:color="auto" w:fill="D9D9D9" w:themeFill="background1" w:themeFillShade="D9"/>
          </w:tcPr>
          <w:p w:rsidR="006A5535" w:rsidRPr="00946D80" w:rsidRDefault="006A5535" w:rsidP="00946D80">
            <w:pPr>
              <w:pStyle w:val="StylRLNormlntextplohyTimesNewRoman12b"/>
              <w:keepNext/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46D80">
              <w:rPr>
                <w:rFonts w:ascii="Verdana" w:hAnsi="Verdana"/>
                <w:b/>
                <w:sz w:val="18"/>
                <w:szCs w:val="18"/>
              </w:rPr>
              <w:t>Klasifikace</w:t>
            </w:r>
          </w:p>
        </w:tc>
        <w:tc>
          <w:tcPr>
            <w:tcW w:w="6496" w:type="dxa"/>
            <w:tcBorders>
              <w:left w:val="single" w:sz="6" w:space="0" w:color="FFFFFF"/>
            </w:tcBorders>
            <w:shd w:val="clear" w:color="auto" w:fill="D9D9D9" w:themeFill="background1" w:themeFillShade="D9"/>
          </w:tcPr>
          <w:p w:rsidR="006A5535" w:rsidRPr="00946D80" w:rsidRDefault="006A5535" w:rsidP="00946D80">
            <w:pPr>
              <w:pStyle w:val="StylRLNormlntextplohyTimesNewRoman12b"/>
              <w:keepNext/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46D80">
              <w:rPr>
                <w:rFonts w:ascii="Verdana" w:hAnsi="Verdana"/>
                <w:b/>
                <w:sz w:val="18"/>
                <w:szCs w:val="18"/>
              </w:rPr>
              <w:t>Popis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688" w:type="dxa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Incident kategorie A</w:t>
            </w:r>
          </w:p>
        </w:tc>
        <w:tc>
          <w:tcPr>
            <w:tcW w:w="6496" w:type="dxa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 xml:space="preserve">Systém, ke kterému se poskytovaná Služba vztahuje, není použitelný ve svých základních a klíčových funkcích, a přitom tato funkční závada znemožňuje jeho užívání většině nebo všem jejím uživatelům. Tento stav kritickým způsobem ohrožuje běžný provoz Objednatele v jeho klíčových procesech a aktivitách, případně způsobuje větší finanční nebo jiné kritické škody, a při tom neexistuje náhradní způsob zajištění poskytování služeb tohoto systému. </w:t>
            </w:r>
          </w:p>
        </w:tc>
      </w:tr>
      <w:tr w:rsidR="00946D80" w:rsidRPr="00946D80" w:rsidTr="00946D80">
        <w:trPr>
          <w:cantSplit/>
          <w:jc w:val="center"/>
        </w:trPr>
        <w:tc>
          <w:tcPr>
            <w:tcW w:w="2688" w:type="dxa"/>
            <w:shd w:val="clear" w:color="auto" w:fill="auto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946D80">
              <w:rPr>
                <w:rFonts w:ascii="Verdana" w:hAnsi="Verdana"/>
                <w:sz w:val="18"/>
                <w:szCs w:val="18"/>
              </w:rPr>
              <w:t>Incident kategorie B</w:t>
            </w:r>
          </w:p>
        </w:tc>
        <w:tc>
          <w:tcPr>
            <w:tcW w:w="6496" w:type="dxa"/>
            <w:shd w:val="clear" w:color="auto" w:fill="auto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  <w:r w:rsidRPr="00946D80">
              <w:rPr>
                <w:rFonts w:ascii="Verdana" w:hAnsi="Verdana"/>
                <w:sz w:val="18"/>
                <w:szCs w:val="18"/>
              </w:rPr>
              <w:t xml:space="preserve">Systém, ke kterému se poskytovaná Služba vztahuje, je ve svých funkcích degradován tak, že tento stav zásadně omezuje běžný provoz Objednatele. 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688" w:type="dxa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Incident kategorie C</w:t>
            </w:r>
          </w:p>
        </w:tc>
        <w:tc>
          <w:tcPr>
            <w:tcW w:w="6496" w:type="dxa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 xml:space="preserve">Ostatní incidenty, které nespadají do kategorií </w:t>
            </w:r>
            <w:proofErr w:type="gramStart"/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A nebo</w:t>
            </w:r>
            <w:proofErr w:type="gramEnd"/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 xml:space="preserve"> B. </w:t>
            </w:r>
          </w:p>
        </w:tc>
      </w:tr>
    </w:tbl>
    <w:p w:rsidR="006A5535" w:rsidRPr="000719AC" w:rsidRDefault="006A5535" w:rsidP="006A5535">
      <w:pPr>
        <w:rPr>
          <w:szCs w:val="22"/>
        </w:rPr>
      </w:pPr>
    </w:p>
    <w:p w:rsidR="006A5535" w:rsidRPr="00946D80" w:rsidRDefault="006A5535" w:rsidP="00946D80">
      <w:pPr>
        <w:pStyle w:val="RLProhlensmluvnchstran"/>
        <w:numPr>
          <w:ilvl w:val="2"/>
          <w:numId w:val="2"/>
        </w:numPr>
        <w:ind w:left="567" w:hanging="567"/>
        <w:jc w:val="left"/>
        <w:rPr>
          <w:rFonts w:ascii="Verdana" w:hAnsi="Verdana"/>
          <w:color w:val="000000"/>
          <w:sz w:val="18"/>
          <w:szCs w:val="18"/>
        </w:rPr>
      </w:pPr>
      <w:proofErr w:type="spellStart"/>
      <w:r w:rsidRPr="00946D80">
        <w:rPr>
          <w:rFonts w:ascii="Verdana" w:hAnsi="Verdana"/>
          <w:color w:val="000000"/>
          <w:sz w:val="18"/>
          <w:szCs w:val="18"/>
        </w:rPr>
        <w:t>Ostatní</w:t>
      </w:r>
      <w:proofErr w:type="spellEnd"/>
      <w:r w:rsidRPr="00946D80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946D80">
        <w:rPr>
          <w:rFonts w:ascii="Verdana" w:hAnsi="Verdana"/>
          <w:color w:val="000000"/>
          <w:sz w:val="18"/>
          <w:szCs w:val="18"/>
        </w:rPr>
        <w:t>servisní</w:t>
      </w:r>
      <w:proofErr w:type="spellEnd"/>
      <w:r w:rsidRPr="00946D80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946D80">
        <w:rPr>
          <w:rFonts w:ascii="Verdana" w:hAnsi="Verdana"/>
          <w:color w:val="000000"/>
          <w:sz w:val="18"/>
          <w:szCs w:val="18"/>
        </w:rPr>
        <w:t>hlášení</w:t>
      </w:r>
      <w:proofErr w:type="spellEnd"/>
    </w:p>
    <w:tbl>
      <w:tblPr>
        <w:tblW w:w="5000" w:type="pct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61"/>
        <w:gridCol w:w="6395"/>
      </w:tblGrid>
      <w:tr w:rsidR="00946D80" w:rsidRPr="00946D80" w:rsidTr="00946D80">
        <w:trPr>
          <w:cantSplit/>
          <w:jc w:val="center"/>
        </w:trPr>
        <w:tc>
          <w:tcPr>
            <w:tcW w:w="2688" w:type="dxa"/>
            <w:shd w:val="clear" w:color="auto" w:fill="D9D9D9" w:themeFill="background1" w:themeFillShade="D9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46D80">
              <w:rPr>
                <w:rFonts w:ascii="Verdana" w:hAnsi="Verdana"/>
                <w:b/>
                <w:sz w:val="18"/>
                <w:szCs w:val="18"/>
              </w:rPr>
              <w:t>Klasifikace</w:t>
            </w:r>
          </w:p>
        </w:tc>
        <w:tc>
          <w:tcPr>
            <w:tcW w:w="6496" w:type="dxa"/>
            <w:shd w:val="clear" w:color="auto" w:fill="D9D9D9" w:themeFill="background1" w:themeFillShade="D9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946D80">
              <w:rPr>
                <w:rFonts w:ascii="Verdana" w:hAnsi="Verdana"/>
                <w:b/>
                <w:sz w:val="18"/>
                <w:szCs w:val="18"/>
              </w:rPr>
              <w:t>Popis</w:t>
            </w:r>
          </w:p>
        </w:tc>
      </w:tr>
      <w:tr w:rsidR="006A5535" w:rsidRPr="00745DD3" w:rsidTr="00946D80">
        <w:trPr>
          <w:cantSplit/>
          <w:jc w:val="center"/>
        </w:trPr>
        <w:tc>
          <w:tcPr>
            <w:tcW w:w="2688" w:type="dxa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>Ostatní servisní hlášení</w:t>
            </w:r>
          </w:p>
        </w:tc>
        <w:tc>
          <w:tcPr>
            <w:tcW w:w="6496" w:type="dxa"/>
          </w:tcPr>
          <w:p w:rsidR="006A5535" w:rsidRPr="00946D80" w:rsidRDefault="006A5535" w:rsidP="00946D80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946D80">
              <w:rPr>
                <w:rFonts w:ascii="Verdana" w:hAnsi="Verdana"/>
                <w:color w:val="000000"/>
                <w:sz w:val="18"/>
                <w:szCs w:val="18"/>
              </w:rPr>
              <w:t xml:space="preserve">Servisní hlášení typu RFS, RFI. </w:t>
            </w:r>
          </w:p>
        </w:tc>
      </w:tr>
    </w:tbl>
    <w:p w:rsidR="006A5535" w:rsidRPr="000719AC" w:rsidRDefault="006A5535" w:rsidP="006A5535">
      <w:pPr>
        <w:rPr>
          <w:szCs w:val="22"/>
        </w:rPr>
      </w:pPr>
    </w:p>
    <w:p w:rsidR="006A5535" w:rsidRPr="00946D80" w:rsidRDefault="006A5535" w:rsidP="00946D80">
      <w:pPr>
        <w:pStyle w:val="RLProhlensmluvnchstran"/>
        <w:numPr>
          <w:ilvl w:val="1"/>
          <w:numId w:val="2"/>
        </w:numPr>
        <w:ind w:left="284" w:hanging="284"/>
        <w:jc w:val="left"/>
        <w:rPr>
          <w:rFonts w:ascii="Verdana" w:hAnsi="Verdana"/>
          <w:color w:val="000000"/>
          <w:kern w:val="32"/>
          <w:sz w:val="20"/>
          <w:lang w:val="cs-CZ"/>
        </w:rPr>
      </w:pPr>
      <w:r w:rsidRPr="00946D80">
        <w:rPr>
          <w:rFonts w:ascii="Verdana" w:hAnsi="Verdana"/>
          <w:sz w:val="20"/>
          <w:lang w:val="cs-CZ"/>
        </w:rPr>
        <w:t>Konkrétní</w:t>
      </w:r>
      <w:r w:rsidRPr="00946D80">
        <w:rPr>
          <w:rFonts w:ascii="Verdana" w:hAnsi="Verdana"/>
          <w:color w:val="000000"/>
          <w:kern w:val="32"/>
          <w:sz w:val="20"/>
          <w:lang w:val="cs-CZ"/>
        </w:rPr>
        <w:t xml:space="preserve"> parametry SLA pro jednotlivé Služby</w:t>
      </w:r>
    </w:p>
    <w:p w:rsidR="006A5535" w:rsidRPr="00946D80" w:rsidRDefault="006A5535" w:rsidP="00946D80">
      <w:pPr>
        <w:tabs>
          <w:tab w:val="center" w:pos="5000"/>
        </w:tabs>
        <w:jc w:val="both"/>
        <w:rPr>
          <w:rFonts w:ascii="Verdana" w:hAnsi="Verdana"/>
          <w:color w:val="000000"/>
          <w:sz w:val="18"/>
          <w:szCs w:val="22"/>
        </w:rPr>
      </w:pPr>
      <w:r w:rsidRPr="00946D80">
        <w:rPr>
          <w:rFonts w:ascii="Verdana" w:hAnsi="Verdana"/>
          <w:color w:val="000000"/>
          <w:sz w:val="18"/>
          <w:szCs w:val="22"/>
        </w:rPr>
        <w:t>Poskytovatel je povinen poskytovat Služby dle Smlouvy v níže uvedených reakčních časech dle</w:t>
      </w:r>
      <w:r w:rsidR="00946D80">
        <w:rPr>
          <w:rFonts w:ascii="Verdana" w:hAnsi="Verdana"/>
          <w:color w:val="000000"/>
          <w:sz w:val="18"/>
          <w:szCs w:val="22"/>
        </w:rPr>
        <w:t> </w:t>
      </w:r>
      <w:r w:rsidRPr="00946D80">
        <w:rPr>
          <w:rFonts w:ascii="Verdana" w:hAnsi="Verdana"/>
          <w:color w:val="000000"/>
          <w:sz w:val="18"/>
          <w:szCs w:val="22"/>
        </w:rPr>
        <w:t>Tabulky č. 1.</w:t>
      </w:r>
    </w:p>
    <w:tbl>
      <w:tblPr>
        <w:tblpPr w:leftFromText="142" w:rightFromText="142" w:vertAnchor="text" w:horzAnchor="margin" w:tblpXSpec="center" w:tblpY="37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7268"/>
      </w:tblGrid>
      <w:tr w:rsidR="006A5535" w:rsidRPr="000856AC" w:rsidTr="00F322D1">
        <w:tc>
          <w:tcPr>
            <w:tcW w:w="0" w:type="auto"/>
            <w:gridSpan w:val="2"/>
            <w:shd w:val="clear" w:color="auto" w:fill="009EE0"/>
          </w:tcPr>
          <w:p w:rsidR="006A5535" w:rsidRPr="000856AC" w:rsidRDefault="006A5535" w:rsidP="00F322D1">
            <w:pPr>
              <w:spacing w:before="60" w:after="60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0856AC">
              <w:rPr>
                <w:rFonts w:ascii="Verdana" w:hAnsi="Verdana" w:cs="Arial"/>
                <w:b/>
                <w:color w:val="FFFFFF"/>
                <w:sz w:val="18"/>
                <w:szCs w:val="18"/>
              </w:rPr>
              <w:t>Služba</w:t>
            </w:r>
          </w:p>
        </w:tc>
      </w:tr>
      <w:tr w:rsidR="006A5535" w:rsidRPr="000856AC" w:rsidTr="00F322D1">
        <w:tc>
          <w:tcPr>
            <w:tcW w:w="1809" w:type="dxa"/>
            <w:shd w:val="clear" w:color="auto" w:fill="DDD9C3"/>
            <w:vAlign w:val="center"/>
          </w:tcPr>
          <w:p w:rsidR="006A5535" w:rsidRPr="000856AC" w:rsidRDefault="006A5535" w:rsidP="00F322D1">
            <w:pPr>
              <w:spacing w:before="60" w:after="6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0856AC">
              <w:rPr>
                <w:rFonts w:ascii="Verdana" w:hAnsi="Verdana" w:cs="Arial"/>
                <w:color w:val="000000"/>
                <w:sz w:val="18"/>
                <w:szCs w:val="18"/>
              </w:rPr>
              <w:t xml:space="preserve">Název Služeb </w:t>
            </w:r>
          </w:p>
        </w:tc>
        <w:tc>
          <w:tcPr>
            <w:tcW w:w="7477" w:type="dxa"/>
            <w:vAlign w:val="center"/>
          </w:tcPr>
          <w:p w:rsidR="006A5535" w:rsidRPr="000856AC" w:rsidRDefault="006A5535" w:rsidP="00F322D1">
            <w:pPr>
              <w:pStyle w:val="Nadpis-nzevsluby"/>
              <w:spacing w:before="60"/>
              <w:jc w:val="left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856AC">
              <w:rPr>
                <w:rFonts w:ascii="Verdana" w:hAnsi="Verdana"/>
                <w:color w:val="000000"/>
                <w:sz w:val="18"/>
                <w:szCs w:val="18"/>
              </w:rPr>
              <w:t>Paušální Služby</w:t>
            </w:r>
          </w:p>
        </w:tc>
      </w:tr>
      <w:tr w:rsidR="006A5535" w:rsidRPr="000856AC" w:rsidTr="00F322D1">
        <w:tc>
          <w:tcPr>
            <w:tcW w:w="0" w:type="auto"/>
            <w:gridSpan w:val="2"/>
            <w:shd w:val="clear" w:color="auto" w:fill="009EE0"/>
          </w:tcPr>
          <w:p w:rsidR="006A5535" w:rsidRPr="000856AC" w:rsidRDefault="006A5535" w:rsidP="00F322D1">
            <w:pPr>
              <w:spacing w:before="60" w:after="60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0856AC">
              <w:rPr>
                <w:rFonts w:ascii="Verdana" w:hAnsi="Verdana" w:cs="Arial"/>
                <w:b/>
                <w:color w:val="FFFFFF"/>
                <w:sz w:val="18"/>
                <w:szCs w:val="18"/>
              </w:rPr>
              <w:t xml:space="preserve">SLA parametry </w:t>
            </w:r>
          </w:p>
        </w:tc>
      </w:tr>
      <w:tr w:rsidR="006A5535" w:rsidRPr="000856AC" w:rsidTr="00F322D1">
        <w:trPr>
          <w:trHeight w:val="3116"/>
        </w:trPr>
        <w:tc>
          <w:tcPr>
            <w:tcW w:w="0" w:type="auto"/>
            <w:gridSpan w:val="2"/>
            <w:shd w:val="clear" w:color="auto" w:fill="DDD9C3"/>
            <w:vAlign w:val="center"/>
          </w:tcPr>
          <w:tbl>
            <w:tblPr>
              <w:tblpPr w:leftFromText="141" w:rightFromText="141" w:vertAnchor="text" w:horzAnchor="margin" w:tblpXSpec="center" w:tblpY="182"/>
              <w:tblW w:w="9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79"/>
              <w:gridCol w:w="1874"/>
              <w:gridCol w:w="1870"/>
              <w:gridCol w:w="1467"/>
              <w:gridCol w:w="1970"/>
            </w:tblGrid>
            <w:tr w:rsidR="006A5535" w:rsidRPr="000856AC" w:rsidTr="00F322D1"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servisní odezvy pro incident Kategorie A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servisní odezvy pro incident Kategorie B</w:t>
                  </w:r>
                </w:p>
              </w:tc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servisní odezvy pro incident Kategorie C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servisní odezvy pro</w:t>
                  </w:r>
                  <w:r w:rsidRPr="000856AC">
                    <w:rPr>
                      <w:rFonts w:ascii="Verdana" w:hAnsi="Verdana"/>
                      <w:sz w:val="18"/>
                      <w:szCs w:val="18"/>
                    </w:rPr>
                    <w:t xml:space="preserve"> ostatní</w:t>
                  </w: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 xml:space="preserve"> servisní hlášení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Maintenance</w:t>
                  </w:r>
                  <w:proofErr w:type="spellEnd"/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Window</w:t>
                  </w:r>
                  <w:proofErr w:type="spellEnd"/>
                </w:p>
              </w:tc>
            </w:tr>
            <w:tr w:rsidR="006A5535" w:rsidRPr="000856AC" w:rsidTr="00F322D1"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20 minut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40 minut</w:t>
                  </w:r>
                </w:p>
              </w:tc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80 minut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noProof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noProof/>
                      <w:color w:val="000000"/>
                      <w:sz w:val="18"/>
                      <w:szCs w:val="18"/>
                    </w:rPr>
                    <w:t xml:space="preserve">80 minut </w:t>
                  </w:r>
                </w:p>
              </w:tc>
              <w:tc>
                <w:tcPr>
                  <w:tcW w:w="19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noProof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noProof/>
                      <w:color w:val="000000"/>
                      <w:sz w:val="18"/>
                      <w:szCs w:val="18"/>
                    </w:rPr>
                    <w:t>každý čtvrtek, vždy</w:t>
                  </w:r>
                </w:p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noProof/>
                      <w:color w:val="000000"/>
                      <w:sz w:val="18"/>
                      <w:szCs w:val="18"/>
                    </w:rPr>
                    <w:t>19:00-24:00</w:t>
                  </w:r>
                </w:p>
              </w:tc>
            </w:tr>
            <w:tr w:rsidR="006A5535" w:rsidRPr="000856AC" w:rsidTr="00F322D1"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odstranění incidentu Kategorie A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odstranění incidentu Kategorie B</w:t>
                  </w:r>
                </w:p>
              </w:tc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odstranění incidentu Kategorie C</w:t>
                  </w:r>
                </w:p>
              </w:tc>
              <w:tc>
                <w:tcPr>
                  <w:tcW w:w="146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DD9C3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Maximální doba vyřešení</w:t>
                  </w:r>
                  <w:r w:rsidRPr="000856AC">
                    <w:rPr>
                      <w:rFonts w:ascii="Verdana" w:hAnsi="Verdana"/>
                      <w:sz w:val="18"/>
                      <w:szCs w:val="18"/>
                    </w:rPr>
                    <w:t xml:space="preserve"> ostatních</w:t>
                  </w: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 xml:space="preserve"> servisních hlášení</w:t>
                  </w:r>
                </w:p>
              </w:tc>
              <w:tc>
                <w:tcPr>
                  <w:tcW w:w="197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DD9C3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A5535" w:rsidRPr="000856AC" w:rsidTr="00F322D1">
              <w:tc>
                <w:tcPr>
                  <w:tcW w:w="1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40 minut</w:t>
                  </w:r>
                  <w:r w:rsidRPr="000856AC" w:rsidDel="00AE2B46">
                    <w:rPr>
                      <w:rFonts w:ascii="Verdana" w:hAnsi="Verdana" w:cs="Arial"/>
                      <w:noProof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80 minut</w:t>
                  </w:r>
                </w:p>
              </w:tc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3 hodiny</w:t>
                  </w:r>
                </w:p>
              </w:tc>
              <w:tc>
                <w:tcPr>
                  <w:tcW w:w="14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  <w:r w:rsidRPr="000856AC"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  <w:t>7 hodin</w:t>
                  </w:r>
                </w:p>
              </w:tc>
              <w:tc>
                <w:tcPr>
                  <w:tcW w:w="19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A5535" w:rsidRPr="000856AC" w:rsidRDefault="006A5535" w:rsidP="00F322D1">
                  <w:pPr>
                    <w:spacing w:before="60" w:after="60"/>
                    <w:jc w:val="center"/>
                    <w:rPr>
                      <w:rFonts w:ascii="Verdana" w:hAnsi="Verdana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A5535" w:rsidRPr="000856AC" w:rsidRDefault="006A5535" w:rsidP="00F322D1">
            <w:pPr>
              <w:spacing w:before="60" w:after="60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:rsidR="006A5535" w:rsidRDefault="006A5535" w:rsidP="000856AC">
      <w:pPr>
        <w:tabs>
          <w:tab w:val="center" w:pos="5000"/>
        </w:tabs>
        <w:rPr>
          <w:rFonts w:ascii="Verdana" w:hAnsi="Verdana"/>
          <w:i/>
          <w:sz w:val="18"/>
          <w:szCs w:val="18"/>
        </w:rPr>
      </w:pPr>
    </w:p>
    <w:p w:rsidR="00AC263D" w:rsidRPr="000856AC" w:rsidRDefault="00AC263D" w:rsidP="000856AC">
      <w:pPr>
        <w:tabs>
          <w:tab w:val="center" w:pos="5000"/>
        </w:tabs>
        <w:rPr>
          <w:rFonts w:ascii="Verdana" w:hAnsi="Verdana"/>
          <w:i/>
          <w:sz w:val="18"/>
          <w:szCs w:val="18"/>
        </w:rPr>
      </w:pPr>
      <w:r w:rsidRPr="000856AC">
        <w:rPr>
          <w:rFonts w:ascii="Verdana" w:hAnsi="Verdana"/>
          <w:i/>
          <w:sz w:val="18"/>
          <w:szCs w:val="18"/>
        </w:rPr>
        <w:t>Tabulka č. 1 – servisní doby a doby odstranění incidentu / vyřešení servisního hlášení</w:t>
      </w:r>
    </w:p>
    <w:p w:rsidR="00AC263D" w:rsidRPr="00C61D07" w:rsidRDefault="00AC263D" w:rsidP="00AC263D">
      <w:pPr>
        <w:pStyle w:val="StylRLNormlntextplohyTimesNewRoman12b"/>
        <w:rPr>
          <w:rFonts w:ascii="Verdana" w:hAnsi="Verdana"/>
          <w:sz w:val="22"/>
          <w:szCs w:val="22"/>
        </w:rPr>
      </w:pPr>
    </w:p>
    <w:p w:rsidR="00392CA6" w:rsidRPr="000856AC" w:rsidRDefault="00392CA6" w:rsidP="000856AC">
      <w:pPr>
        <w:pStyle w:val="StylRLNormlntextplohyTimesNewRoman12b"/>
        <w:spacing w:before="60" w:after="60" w:line="276" w:lineRule="auto"/>
        <w:rPr>
          <w:rFonts w:ascii="Verdana" w:hAnsi="Verdana"/>
          <w:sz w:val="18"/>
          <w:szCs w:val="18"/>
        </w:rPr>
      </w:pPr>
      <w:r w:rsidRPr="000856AC">
        <w:rPr>
          <w:rFonts w:ascii="Verdana" w:hAnsi="Verdana"/>
          <w:sz w:val="18"/>
          <w:szCs w:val="18"/>
        </w:rPr>
        <w:t xml:space="preserve">Při nesplnění výše uvedených SLA parametrů vzniká Zadavateli nárok na smluvní </w:t>
      </w:r>
      <w:r w:rsidR="007D1EA8" w:rsidRPr="000856AC">
        <w:rPr>
          <w:rFonts w:ascii="Verdana" w:hAnsi="Verdana"/>
          <w:sz w:val="18"/>
          <w:szCs w:val="18"/>
        </w:rPr>
        <w:t>pokutu</w:t>
      </w:r>
      <w:r w:rsidRPr="000856AC">
        <w:rPr>
          <w:rFonts w:ascii="Verdana" w:hAnsi="Verdana"/>
          <w:sz w:val="18"/>
          <w:szCs w:val="18"/>
        </w:rPr>
        <w:t xml:space="preserve"> za</w:t>
      </w:r>
      <w:r w:rsidR="000856AC">
        <w:rPr>
          <w:rFonts w:ascii="Verdana" w:hAnsi="Verdana"/>
          <w:sz w:val="18"/>
          <w:szCs w:val="18"/>
        </w:rPr>
        <w:t> </w:t>
      </w:r>
      <w:r w:rsidRPr="000856AC">
        <w:rPr>
          <w:rFonts w:ascii="Verdana" w:hAnsi="Verdana"/>
          <w:sz w:val="18"/>
          <w:szCs w:val="18"/>
        </w:rPr>
        <w:t>nesplnění měřitelných SLA takto:</w:t>
      </w:r>
    </w:p>
    <w:tbl>
      <w:tblPr>
        <w:tblW w:w="9179" w:type="dxa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83"/>
        <w:gridCol w:w="1672"/>
        <w:gridCol w:w="1672"/>
        <w:gridCol w:w="2052"/>
      </w:tblGrid>
      <w:tr w:rsidR="007D1EA8" w:rsidRPr="000856AC" w:rsidTr="000856AC">
        <w:trPr>
          <w:cantSplit/>
          <w:trHeight w:val="330"/>
          <w:tblHeader/>
          <w:jc w:val="center"/>
        </w:trPr>
        <w:tc>
          <w:tcPr>
            <w:tcW w:w="3783" w:type="dxa"/>
            <w:tcBorders>
              <w:right w:val="single" w:sz="6" w:space="0" w:color="FFFFFF"/>
            </w:tcBorders>
            <w:shd w:val="clear" w:color="auto" w:fill="009EE0"/>
            <w:noWrap/>
            <w:vAlign w:val="center"/>
          </w:tcPr>
          <w:p w:rsidR="007D1EA8" w:rsidRPr="000856AC" w:rsidRDefault="007D1EA8" w:rsidP="000856AC">
            <w:pPr>
              <w:pStyle w:val="StylRLNormlntextplohyTimesNewRoman12b"/>
              <w:spacing w:before="60" w:after="60" w:line="240" w:lineRule="auto"/>
              <w:jc w:val="center"/>
              <w:rPr>
                <w:rFonts w:ascii="Verdana" w:hAnsi="Verdana"/>
                <w:b/>
                <w:color w:val="FFFFFF"/>
                <w:sz w:val="18"/>
                <w:szCs w:val="18"/>
              </w:rPr>
            </w:pPr>
            <w:r w:rsidRPr="000856AC">
              <w:rPr>
                <w:rFonts w:ascii="Verdana" w:hAnsi="Verdana"/>
                <w:b/>
                <w:color w:val="FFFFFF"/>
                <w:sz w:val="18"/>
                <w:szCs w:val="18"/>
              </w:rPr>
              <w:t>Název parametru</w:t>
            </w:r>
          </w:p>
        </w:tc>
        <w:tc>
          <w:tcPr>
            <w:tcW w:w="1672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009EE0"/>
            <w:vAlign w:val="center"/>
          </w:tcPr>
          <w:p w:rsidR="007D1EA8" w:rsidRPr="000856AC" w:rsidRDefault="007D1EA8" w:rsidP="000856AC">
            <w:pPr>
              <w:pStyle w:val="StylRLNormlntextplohyTimesNewRoman12b"/>
              <w:spacing w:before="60" w:after="60" w:line="240" w:lineRule="auto"/>
              <w:jc w:val="center"/>
              <w:rPr>
                <w:rFonts w:ascii="Verdana" w:hAnsi="Verdana"/>
                <w:b/>
                <w:color w:val="FFFFFF"/>
                <w:sz w:val="18"/>
                <w:szCs w:val="18"/>
              </w:rPr>
            </w:pPr>
            <w:r w:rsidRPr="000856AC">
              <w:rPr>
                <w:rFonts w:ascii="Verdana" w:hAnsi="Verdana"/>
                <w:b/>
                <w:color w:val="FFFFFF"/>
                <w:sz w:val="18"/>
                <w:szCs w:val="18"/>
              </w:rPr>
              <w:t>Pokuta z ceny plnění – měsíční výše paušálu v %</w:t>
            </w:r>
          </w:p>
        </w:tc>
        <w:tc>
          <w:tcPr>
            <w:tcW w:w="1672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009EE0"/>
            <w:vAlign w:val="center"/>
          </w:tcPr>
          <w:p w:rsidR="007D1EA8" w:rsidRPr="000856AC" w:rsidRDefault="007D1EA8" w:rsidP="000856AC">
            <w:pPr>
              <w:pStyle w:val="StylRLNormlntextplohyTimesNewRoman12b"/>
              <w:spacing w:before="60" w:after="60" w:line="240" w:lineRule="auto"/>
              <w:jc w:val="center"/>
              <w:rPr>
                <w:rFonts w:ascii="Verdana" w:hAnsi="Verdana"/>
                <w:b/>
                <w:color w:val="FFFFFF"/>
                <w:sz w:val="18"/>
                <w:szCs w:val="18"/>
              </w:rPr>
            </w:pPr>
            <w:r w:rsidRPr="000856AC">
              <w:rPr>
                <w:rFonts w:ascii="Verdana" w:hAnsi="Verdana"/>
                <w:b/>
                <w:color w:val="FFFFFF"/>
                <w:sz w:val="18"/>
                <w:szCs w:val="18"/>
              </w:rPr>
              <w:t>Max. výše pokuty z ceny za 1 měsíc v %</w:t>
            </w:r>
          </w:p>
        </w:tc>
        <w:tc>
          <w:tcPr>
            <w:tcW w:w="2052" w:type="dxa"/>
            <w:tcBorders>
              <w:left w:val="single" w:sz="6" w:space="0" w:color="FFFFFF"/>
            </w:tcBorders>
            <w:shd w:val="clear" w:color="auto" w:fill="009EE0"/>
            <w:vAlign w:val="center"/>
          </w:tcPr>
          <w:p w:rsidR="007D1EA8" w:rsidRPr="000856AC" w:rsidRDefault="007D1EA8" w:rsidP="000856AC">
            <w:pPr>
              <w:pStyle w:val="StylRLNormlntextplohyTimesNewRoman12b"/>
              <w:spacing w:before="60" w:after="60" w:line="240" w:lineRule="auto"/>
              <w:jc w:val="center"/>
              <w:rPr>
                <w:rFonts w:ascii="Verdana" w:hAnsi="Verdana"/>
                <w:b/>
                <w:color w:val="FFFFFF"/>
                <w:sz w:val="18"/>
                <w:szCs w:val="18"/>
              </w:rPr>
            </w:pPr>
            <w:r w:rsidRPr="000856AC">
              <w:rPr>
                <w:rFonts w:ascii="Verdana" w:hAnsi="Verdana"/>
                <w:b/>
                <w:color w:val="FFFFFF"/>
                <w:sz w:val="18"/>
                <w:szCs w:val="18"/>
              </w:rPr>
              <w:t>Způsob výpočtu</w:t>
            </w:r>
          </w:p>
        </w:tc>
      </w:tr>
      <w:tr w:rsidR="00AC263D" w:rsidRPr="000856AC" w:rsidTr="00CF7A5B">
        <w:trPr>
          <w:cantSplit/>
          <w:trHeight w:val="330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servisní odezvy pro incident Kategorie A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30</w:t>
            </w:r>
          </w:p>
        </w:tc>
        <w:tc>
          <w:tcPr>
            <w:tcW w:w="2052" w:type="dxa"/>
            <w:vMerge w:val="restart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za každých započatých 10 minut přes povolený limit</w:t>
            </w:r>
          </w:p>
          <w:p w:rsidR="00AC263D" w:rsidRPr="000856AC" w:rsidRDefault="00AC263D" w:rsidP="00946D80">
            <w:pPr>
              <w:pStyle w:val="RLProhlensmluvnchstran"/>
              <w:numPr>
                <w:ilvl w:val="2"/>
                <w:numId w:val="2"/>
              </w:numPr>
              <w:ind w:left="567" w:hanging="567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45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servisní odezvy pro incident Kategorie B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0,5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33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servisní odezvy pro incident Kategorie C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0,1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2,5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81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lastRenderedPageBreak/>
              <w:t>Doba servisní odezvy pro ostatní servisní hlášení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0,1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2,5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81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vyřešení incidentu kategorie A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30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81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vyřešení incidentu kategorie B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0,5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81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vyřešení incidentu kategorie C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0,1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2,5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AC263D" w:rsidRPr="000856AC" w:rsidTr="00CF7A5B">
        <w:trPr>
          <w:cantSplit/>
          <w:trHeight w:val="681"/>
          <w:jc w:val="center"/>
        </w:trPr>
        <w:tc>
          <w:tcPr>
            <w:tcW w:w="3783" w:type="dxa"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0856AC">
              <w:rPr>
                <w:rFonts w:ascii="Verdana" w:hAnsi="Verdana"/>
                <w:sz w:val="18"/>
                <w:szCs w:val="18"/>
              </w:rPr>
              <w:t>Doba vyřešení ostatních servisních hlášení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0,05</w:t>
            </w:r>
          </w:p>
        </w:tc>
        <w:tc>
          <w:tcPr>
            <w:tcW w:w="1672" w:type="dxa"/>
            <w:vAlign w:val="center"/>
          </w:tcPr>
          <w:p w:rsidR="00AC263D" w:rsidRPr="000856AC" w:rsidRDefault="00AC263D" w:rsidP="000856AC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856AC">
              <w:rPr>
                <w:rFonts w:ascii="Verdana" w:hAnsi="Verdana" w:cs="Arial"/>
                <w:sz w:val="18"/>
                <w:szCs w:val="18"/>
              </w:rPr>
              <w:t>1,5</w:t>
            </w:r>
          </w:p>
        </w:tc>
        <w:tc>
          <w:tcPr>
            <w:tcW w:w="2052" w:type="dxa"/>
            <w:vMerge/>
          </w:tcPr>
          <w:p w:rsidR="00AC263D" w:rsidRPr="000856AC" w:rsidRDefault="00AC263D" w:rsidP="000856AC">
            <w:pPr>
              <w:pStyle w:val="StylRLNormlntextplohyTimesNewRoman12b"/>
              <w:spacing w:before="60" w:after="6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52B2E" w:rsidRPr="00C61D07" w:rsidRDefault="00AC263D">
      <w:pPr>
        <w:rPr>
          <w:rFonts w:ascii="Verdana" w:hAnsi="Verdana"/>
        </w:rPr>
      </w:pPr>
      <w:r w:rsidRPr="000856AC">
        <w:rPr>
          <w:rFonts w:ascii="Verdana" w:hAnsi="Verdana"/>
          <w:i/>
          <w:sz w:val="18"/>
          <w:szCs w:val="18"/>
        </w:rPr>
        <w:t xml:space="preserve">Tabulka č. 2 – </w:t>
      </w:r>
      <w:r w:rsidR="007D1EA8" w:rsidRPr="000856AC">
        <w:rPr>
          <w:rFonts w:ascii="Verdana" w:hAnsi="Verdana"/>
          <w:i/>
          <w:sz w:val="18"/>
          <w:szCs w:val="18"/>
        </w:rPr>
        <w:t>Pokuty</w:t>
      </w:r>
    </w:p>
    <w:sectPr w:rsidR="00352B2E" w:rsidRPr="00C61D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AA7" w:rsidRDefault="00474AA7">
      <w:r>
        <w:separator/>
      </w:r>
    </w:p>
  </w:endnote>
  <w:endnote w:type="continuationSeparator" w:id="0">
    <w:p w:rsidR="00474AA7" w:rsidRDefault="0047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AC" w:rsidRDefault="000856AC" w:rsidP="000856AC">
    <w:pPr>
      <w:pStyle w:val="Zpat"/>
      <w:jc w:val="center"/>
    </w:pPr>
    <w:r w:rsidRPr="000856AC">
      <w:rPr>
        <w:rFonts w:ascii="Verdana" w:hAnsi="Verdana"/>
        <w:color w:val="004666"/>
        <w:sz w:val="18"/>
        <w:szCs w:val="18"/>
      </w:rPr>
      <w:fldChar w:fldCharType="begin"/>
    </w:r>
    <w:r w:rsidRPr="000856AC">
      <w:rPr>
        <w:rFonts w:ascii="Verdana" w:hAnsi="Verdana"/>
        <w:color w:val="004666"/>
        <w:sz w:val="18"/>
        <w:szCs w:val="18"/>
      </w:rPr>
      <w:instrText>PAGE   \* MERGEFORMAT</w:instrText>
    </w:r>
    <w:r w:rsidRPr="000856AC">
      <w:rPr>
        <w:rFonts w:ascii="Verdana" w:hAnsi="Verdana"/>
        <w:color w:val="004666"/>
        <w:sz w:val="18"/>
        <w:szCs w:val="18"/>
      </w:rPr>
      <w:fldChar w:fldCharType="separate"/>
    </w:r>
    <w:r w:rsidRPr="000856AC">
      <w:rPr>
        <w:rFonts w:ascii="Verdana" w:hAnsi="Verdana"/>
        <w:noProof/>
        <w:color w:val="004666"/>
        <w:sz w:val="18"/>
        <w:szCs w:val="18"/>
      </w:rPr>
      <w:t>2</w:t>
    </w:r>
    <w:r w:rsidRPr="000856AC">
      <w:rPr>
        <w:rFonts w:ascii="Verdana" w:hAnsi="Verdana"/>
        <w:color w:val="004666"/>
        <w:sz w:val="18"/>
        <w:szCs w:val="18"/>
      </w:rPr>
      <w:fldChar w:fldCharType="end"/>
    </w:r>
    <w:r w:rsidRPr="000856AC">
      <w:rPr>
        <w:rFonts w:ascii="Verdana" w:hAnsi="Verdana"/>
        <w:color w:val="004666"/>
        <w:sz w:val="18"/>
        <w:szCs w:val="18"/>
      </w:rPr>
      <w:t>/</w:t>
    </w:r>
    <w:r w:rsidRPr="000856AC">
      <w:rPr>
        <w:rFonts w:ascii="Verdana" w:hAnsi="Verdana"/>
        <w:color w:val="004666"/>
        <w:sz w:val="18"/>
        <w:szCs w:val="18"/>
      </w:rPr>
      <w:fldChar w:fldCharType="begin"/>
    </w:r>
    <w:r w:rsidRPr="000856AC">
      <w:rPr>
        <w:rFonts w:ascii="Verdana" w:hAnsi="Verdana"/>
        <w:color w:val="004666"/>
        <w:sz w:val="18"/>
        <w:szCs w:val="18"/>
      </w:rPr>
      <w:instrText xml:space="preserve"> NUMPAGES   \* MERGEFORMAT </w:instrText>
    </w:r>
    <w:r w:rsidRPr="000856AC">
      <w:rPr>
        <w:rFonts w:ascii="Verdana" w:hAnsi="Verdana"/>
        <w:color w:val="004666"/>
        <w:sz w:val="18"/>
        <w:szCs w:val="18"/>
      </w:rPr>
      <w:fldChar w:fldCharType="separate"/>
    </w:r>
    <w:r w:rsidRPr="000856AC">
      <w:rPr>
        <w:rFonts w:ascii="Verdana" w:hAnsi="Verdana"/>
        <w:noProof/>
        <w:color w:val="004666"/>
        <w:sz w:val="18"/>
        <w:szCs w:val="18"/>
      </w:rPr>
      <w:t>7</w:t>
    </w:r>
    <w:r w:rsidRPr="000856AC">
      <w:rPr>
        <w:rFonts w:ascii="Verdana" w:hAnsi="Verdana"/>
        <w:noProof/>
        <w:color w:val="00466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AA7" w:rsidRDefault="00474AA7">
      <w:r>
        <w:separator/>
      </w:r>
    </w:p>
  </w:footnote>
  <w:footnote w:type="continuationSeparator" w:id="0">
    <w:p w:rsidR="00474AA7" w:rsidRDefault="0047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2" w:space="0" w:color="004666"/>
      </w:tblBorders>
      <w:tblLook w:val="04A0" w:firstRow="1" w:lastRow="0" w:firstColumn="1" w:lastColumn="0" w:noHBand="0" w:noVBand="1"/>
    </w:tblPr>
    <w:tblGrid>
      <w:gridCol w:w="2365"/>
      <w:gridCol w:w="5030"/>
      <w:gridCol w:w="1677"/>
    </w:tblGrid>
    <w:tr w:rsidR="000856AC" w:rsidRPr="00885DF2" w:rsidTr="005C7105">
      <w:trPr>
        <w:trHeight w:val="555"/>
      </w:trPr>
      <w:tc>
        <w:tcPr>
          <w:tcW w:w="2399" w:type="dxa"/>
          <w:vMerge w:val="restart"/>
          <w:shd w:val="clear" w:color="auto" w:fill="auto"/>
          <w:vAlign w:val="center"/>
        </w:tcPr>
        <w:p w:rsidR="000856AC" w:rsidRPr="000D23D8" w:rsidRDefault="000856AC" w:rsidP="000856AC">
          <w:pPr>
            <w:pStyle w:val="ZKLADN"/>
            <w:rPr>
              <w:rFonts w:ascii="Verdana" w:hAnsi="Verdana" w:cs="Calibri"/>
            </w:rPr>
          </w:pPr>
          <w:r w:rsidRPr="00F77F63">
            <w:rPr>
              <w:noProof/>
            </w:rPr>
            <w:drawing>
              <wp:inline distT="0" distB="0" distL="0" distR="0">
                <wp:extent cx="1304925" cy="542925"/>
                <wp:effectExtent l="0" t="0" r="9525" b="9525"/>
                <wp:docPr id="1" name="Obrázek 1" descr="C:\Users\hana.zaludova\AppData\Local\Microsoft\Windows\Temporary Internet Files\Content.Outlook\KZXSZ69G\rgb_logo_spcss_zaklad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5" descr="C:\Users\hana.zaludova\AppData\Local\Microsoft\Windows\Temporary Internet Files\Content.Outlook\KZXSZ69G\rgb_logo_spcss_zaklad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9" w:type="dxa"/>
          <w:shd w:val="clear" w:color="auto" w:fill="auto"/>
          <w:vAlign w:val="center"/>
        </w:tcPr>
        <w:p w:rsidR="002C1AFE" w:rsidRDefault="002C1AFE" w:rsidP="002C1AFE">
          <w:pPr>
            <w:pStyle w:val="ZKLADN"/>
            <w:spacing w:before="0" w:after="0" w:line="240" w:lineRule="auto"/>
            <w:ind w:left="454"/>
            <w:jc w:val="left"/>
            <w:rPr>
              <w:rFonts w:ascii="Verdana" w:hAnsi="Verdana"/>
              <w:b/>
              <w:color w:val="004666"/>
              <w:sz w:val="18"/>
              <w:szCs w:val="18"/>
            </w:rPr>
          </w:pPr>
          <w:r w:rsidRPr="00307184">
            <w:rPr>
              <w:rFonts w:ascii="Verdana" w:hAnsi="Verdana"/>
              <w:b/>
              <w:color w:val="004666"/>
              <w:sz w:val="18"/>
              <w:szCs w:val="18"/>
            </w:rPr>
            <w:t>Smlouv</w:t>
          </w:r>
          <w:r>
            <w:rPr>
              <w:rFonts w:ascii="Verdana" w:hAnsi="Verdana"/>
              <w:b/>
              <w:color w:val="004666"/>
              <w:sz w:val="18"/>
              <w:szCs w:val="18"/>
            </w:rPr>
            <w:t>a</w:t>
          </w:r>
          <w:r w:rsidRPr="00307184">
            <w:rPr>
              <w:rFonts w:ascii="Verdana" w:hAnsi="Verdana"/>
              <w:b/>
              <w:color w:val="004666"/>
              <w:sz w:val="18"/>
              <w:szCs w:val="18"/>
            </w:rPr>
            <w:t xml:space="preserve"> o poskytování služeb podpory provozu IISSP v oblasti RISPR/RISRE/CSÚIS</w:t>
          </w:r>
        </w:p>
        <w:p w:rsidR="000856AC" w:rsidRPr="00B474F0" w:rsidRDefault="000856AC" w:rsidP="000856AC">
          <w:pPr>
            <w:pStyle w:val="ZKLADN"/>
            <w:spacing w:before="0" w:after="0" w:line="240" w:lineRule="auto"/>
            <w:ind w:left="454"/>
            <w:jc w:val="left"/>
            <w:rPr>
              <w:rFonts w:ascii="Verdana" w:hAnsi="Verdana"/>
              <w:b/>
              <w:color w:val="004666"/>
              <w:sz w:val="18"/>
              <w:szCs w:val="18"/>
            </w:rPr>
          </w:pPr>
          <w:r w:rsidRPr="00307A6C">
            <w:rPr>
              <w:rFonts w:ascii="Verdana" w:hAnsi="Verdana"/>
              <w:b/>
              <w:color w:val="004666"/>
              <w:sz w:val="18"/>
              <w:szCs w:val="18"/>
            </w:rPr>
            <w:t xml:space="preserve">Příloha č. </w:t>
          </w:r>
          <w:r>
            <w:rPr>
              <w:rFonts w:ascii="Verdana" w:hAnsi="Verdana"/>
              <w:b/>
              <w:color w:val="004666"/>
              <w:sz w:val="18"/>
              <w:szCs w:val="18"/>
            </w:rPr>
            <w:t>13</w:t>
          </w:r>
          <w:r w:rsidRPr="00307A6C">
            <w:rPr>
              <w:rFonts w:ascii="Verdana" w:hAnsi="Verdana"/>
              <w:b/>
              <w:color w:val="004666"/>
              <w:sz w:val="18"/>
              <w:szCs w:val="18"/>
            </w:rPr>
            <w:t xml:space="preserve"> – </w:t>
          </w:r>
          <w:r>
            <w:rPr>
              <w:rFonts w:ascii="Verdana" w:hAnsi="Verdana"/>
              <w:b/>
              <w:color w:val="004666"/>
              <w:sz w:val="18"/>
              <w:szCs w:val="18"/>
            </w:rPr>
            <w:t>SLA parametry</w:t>
          </w:r>
        </w:p>
      </w:tc>
      <w:tc>
        <w:tcPr>
          <w:tcW w:w="1752" w:type="dxa"/>
          <w:vMerge w:val="restart"/>
          <w:shd w:val="clear" w:color="auto" w:fill="auto"/>
          <w:vAlign w:val="center"/>
        </w:tcPr>
        <w:p w:rsidR="000856AC" w:rsidRPr="000D23D8" w:rsidRDefault="000856AC" w:rsidP="000856AC">
          <w:pPr>
            <w:pStyle w:val="ZKLADN"/>
            <w:spacing w:line="240" w:lineRule="auto"/>
            <w:jc w:val="center"/>
            <w:rPr>
              <w:rFonts w:cs="Calibri"/>
              <w:b/>
              <w:bCs/>
              <w:color w:val="004666"/>
            </w:rPr>
          </w:pPr>
          <w:r w:rsidRPr="000B47E4">
            <w:rPr>
              <w:rFonts w:ascii="Verdana" w:hAnsi="Verdana"/>
              <w:b/>
              <w:color w:val="004666"/>
              <w:sz w:val="18"/>
              <w:szCs w:val="18"/>
              <w:highlight w:val="green"/>
            </w:rPr>
            <w:t>[DOPLNÍ ZADAVATEL]</w:t>
          </w:r>
        </w:p>
      </w:tc>
    </w:tr>
    <w:tr w:rsidR="000856AC" w:rsidRPr="00885DF2" w:rsidTr="005C7105">
      <w:trPr>
        <w:trHeight w:val="555"/>
      </w:trPr>
      <w:tc>
        <w:tcPr>
          <w:tcW w:w="2399" w:type="dxa"/>
          <w:vMerge/>
          <w:shd w:val="clear" w:color="auto" w:fill="auto"/>
          <w:vAlign w:val="center"/>
        </w:tcPr>
        <w:p w:rsidR="000856AC" w:rsidRPr="000D23D8" w:rsidRDefault="000856AC" w:rsidP="000856AC">
          <w:pPr>
            <w:pStyle w:val="ZKLADN"/>
            <w:rPr>
              <w:noProof/>
            </w:rPr>
          </w:pPr>
        </w:p>
      </w:tc>
      <w:tc>
        <w:tcPr>
          <w:tcW w:w="5989" w:type="dxa"/>
          <w:shd w:val="clear" w:color="auto" w:fill="auto"/>
          <w:vAlign w:val="center"/>
        </w:tcPr>
        <w:p w:rsidR="000856AC" w:rsidRPr="00B474F0" w:rsidRDefault="000856AC" w:rsidP="000856AC">
          <w:pPr>
            <w:pStyle w:val="ZKLADN"/>
            <w:spacing w:line="240" w:lineRule="auto"/>
            <w:ind w:left="454"/>
            <w:jc w:val="left"/>
            <w:rPr>
              <w:rFonts w:ascii="Verdana" w:hAnsi="Verdana"/>
              <w:b/>
              <w:color w:val="009EE0"/>
              <w:sz w:val="18"/>
              <w:szCs w:val="18"/>
            </w:rPr>
          </w:pPr>
          <w:r w:rsidRPr="003666CC">
            <w:rPr>
              <w:rFonts w:ascii="Verdana" w:hAnsi="Verdana"/>
              <w:b/>
              <w:color w:val="009EE0"/>
              <w:sz w:val="18"/>
              <w:szCs w:val="18"/>
            </w:rPr>
            <w:t>Zajištění podpory provozu Integrovaného informačního systému státní pokladny</w:t>
          </w:r>
        </w:p>
      </w:tc>
      <w:tc>
        <w:tcPr>
          <w:tcW w:w="1752" w:type="dxa"/>
          <w:vMerge/>
          <w:shd w:val="clear" w:color="auto" w:fill="auto"/>
          <w:vAlign w:val="center"/>
        </w:tcPr>
        <w:p w:rsidR="000856AC" w:rsidRPr="000D23D8" w:rsidRDefault="000856AC" w:rsidP="000856AC">
          <w:pPr>
            <w:pStyle w:val="ZKLADN"/>
          </w:pPr>
        </w:p>
      </w:tc>
    </w:tr>
  </w:tbl>
  <w:p w:rsidR="0044500F" w:rsidRPr="000856AC" w:rsidRDefault="00FE15FD" w:rsidP="000856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7C45C28"/>
    <w:name w:val="WW8Num12"/>
    <w:lvl w:ilvl="0">
      <w:start w:val="1"/>
      <w:numFmt w:val="lowerRoman"/>
      <w:lvlText w:val="%1)"/>
      <w:lvlJc w:val="left"/>
      <w:pPr>
        <w:tabs>
          <w:tab w:val="num" w:pos="1800"/>
        </w:tabs>
        <w:ind w:left="1800" w:hanging="72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E257997"/>
    <w:multiLevelType w:val="multilevel"/>
    <w:tmpl w:val="CBE25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39B7B24"/>
    <w:multiLevelType w:val="hybridMultilevel"/>
    <w:tmpl w:val="AF68BA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3D"/>
    <w:rsid w:val="00034E20"/>
    <w:rsid w:val="000856AC"/>
    <w:rsid w:val="000875F0"/>
    <w:rsid w:val="002C1AFE"/>
    <w:rsid w:val="00352B2E"/>
    <w:rsid w:val="00392CA6"/>
    <w:rsid w:val="00474AA7"/>
    <w:rsid w:val="00563AFC"/>
    <w:rsid w:val="005F145E"/>
    <w:rsid w:val="006547DC"/>
    <w:rsid w:val="006A5535"/>
    <w:rsid w:val="00745DD3"/>
    <w:rsid w:val="007D1EA8"/>
    <w:rsid w:val="008446D0"/>
    <w:rsid w:val="00885B43"/>
    <w:rsid w:val="00916023"/>
    <w:rsid w:val="00946D80"/>
    <w:rsid w:val="00974FA4"/>
    <w:rsid w:val="009E330C"/>
    <w:rsid w:val="00AC263D"/>
    <w:rsid w:val="00B06BA0"/>
    <w:rsid w:val="00B50EF0"/>
    <w:rsid w:val="00C61D07"/>
    <w:rsid w:val="00C85EDC"/>
    <w:rsid w:val="00D1064F"/>
    <w:rsid w:val="00E356FC"/>
    <w:rsid w:val="00EE61D2"/>
    <w:rsid w:val="00F448BE"/>
    <w:rsid w:val="00F449B0"/>
    <w:rsid w:val="00FB5E78"/>
    <w:rsid w:val="00FD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FCC17-F9E2-4793-81F6-22EAB9E9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C2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ednmka1zvraznn2Char">
    <w:name w:val="Střední mřížka 1 – zvýraznění 2 Char"/>
    <w:link w:val="Stednmka1zvraznn2"/>
    <w:uiPriority w:val="34"/>
    <w:rsid w:val="00AC263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aliases w:val="En-tête 1.1,ContentsHeader,hd"/>
    <w:basedOn w:val="Normln"/>
    <w:link w:val="ZhlavChar"/>
    <w:uiPriority w:val="99"/>
    <w:unhideWhenUsed/>
    <w:rsid w:val="00AC263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aliases w:val="En-tête 1.1 Char,ContentsHeader Char,hd Char"/>
    <w:basedOn w:val="Standardnpsmoodstavce"/>
    <w:link w:val="Zhlav"/>
    <w:uiPriority w:val="99"/>
    <w:rsid w:val="00AC263D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AC263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AC263D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Nadpis-nzevsluby">
    <w:name w:val="Nadpis - název služby"/>
    <w:basedOn w:val="Normln"/>
    <w:next w:val="Normln"/>
    <w:rsid w:val="00AC263D"/>
    <w:pPr>
      <w:spacing w:before="120" w:after="60"/>
      <w:jc w:val="both"/>
    </w:pPr>
    <w:rPr>
      <w:rFonts w:ascii="Arial" w:hAnsi="Arial" w:cs="Arial"/>
      <w:b/>
      <w:kern w:val="24"/>
      <w:sz w:val="20"/>
      <w:szCs w:val="20"/>
    </w:rPr>
  </w:style>
  <w:style w:type="paragraph" w:customStyle="1" w:styleId="StylRLNormlntextplohyTimesNewRoman12b">
    <w:name w:val="Styl RL Normální text přílohy + Times New Roman 12 b."/>
    <w:basedOn w:val="Normln"/>
    <w:uiPriority w:val="99"/>
    <w:rsid w:val="00AC263D"/>
    <w:pPr>
      <w:spacing w:after="120" w:line="320" w:lineRule="atLeast"/>
      <w:jc w:val="both"/>
    </w:pPr>
    <w:rPr>
      <w:rFonts w:ascii="Garamond" w:hAnsi="Garamond"/>
    </w:rPr>
  </w:style>
  <w:style w:type="table" w:styleId="Stednmka1zvraznn2">
    <w:name w:val="Medium Grid 1 Accent 2"/>
    <w:basedOn w:val="Normlntabulka"/>
    <w:link w:val="Stednmka1zvraznn2Char"/>
    <w:uiPriority w:val="34"/>
    <w:rsid w:val="00AC2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lastRow">
      <w:tblPr/>
      <w:tcPr>
        <w:tcBorders>
          <w:top w:val="single" w:sz="18" w:space="0" w:color="CF7B79" w:themeColor="accent2" w:themeTint="BF"/>
        </w:tcBorders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customStyle="1" w:styleId="ZKLADN">
    <w:name w:val="ZÁKLADNÍ"/>
    <w:basedOn w:val="Zkladntext"/>
    <w:link w:val="ZKLADNChar"/>
    <w:uiPriority w:val="99"/>
    <w:rsid w:val="000856AC"/>
    <w:pPr>
      <w:widowControl w:val="0"/>
      <w:spacing w:before="120" w:line="280" w:lineRule="atLeast"/>
      <w:jc w:val="both"/>
    </w:pPr>
    <w:rPr>
      <w:rFonts w:ascii="Garamond" w:eastAsia="Calibri" w:hAnsi="Garamond" w:cs="Garamond"/>
      <w:lang w:eastAsia="en-US"/>
    </w:rPr>
  </w:style>
  <w:style w:type="character" w:customStyle="1" w:styleId="ZKLADNChar">
    <w:name w:val="ZÁKLADNÍ Char"/>
    <w:link w:val="ZKLADN"/>
    <w:uiPriority w:val="99"/>
    <w:locked/>
    <w:rsid w:val="000856AC"/>
    <w:rPr>
      <w:rFonts w:ascii="Garamond" w:eastAsia="Calibri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856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856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A5535"/>
    <w:pPr>
      <w:spacing w:after="120" w:line="280" w:lineRule="exact"/>
      <w:jc w:val="center"/>
    </w:pPr>
    <w:rPr>
      <w:rFonts w:ascii="Calibri" w:hAnsi="Calibri"/>
      <w:b/>
      <w:szCs w:val="20"/>
      <w:lang w:val="en-US"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A5535"/>
    <w:rPr>
      <w:rFonts w:ascii="Calibri" w:eastAsia="Times New Roman" w:hAnsi="Calibri" w:cs="Times New Roman"/>
      <w:b/>
      <w:sz w:val="24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75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5F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Tomas.Bauer@mfcr.cz</dc:creator>
  <cp:lastModifiedBy>Špačková Helena</cp:lastModifiedBy>
  <cp:revision>2</cp:revision>
  <dcterms:created xsi:type="dcterms:W3CDTF">2018-04-16T10:12:00Z</dcterms:created>
  <dcterms:modified xsi:type="dcterms:W3CDTF">2018-04-16T10:12:00Z</dcterms:modified>
</cp:coreProperties>
</file>